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hanging="378" w:hangingChars="157"/>
        <w:textAlignment w:val="auto"/>
        <w:rPr>
          <w:rFonts w:hint="default" w:ascii="仿宋" w:hAnsi="仿宋" w:eastAsia="仿宋" w:cs="Times New Roman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Times New Roman"/>
          <w:b/>
          <w:bCs/>
          <w:color w:val="auto"/>
          <w:sz w:val="24"/>
          <w:szCs w:val="24"/>
          <w:lang w:val="en-US" w:eastAsia="zh-CN"/>
        </w:rPr>
        <w:t>课题指南：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hanging="376" w:hangingChars="157"/>
        <w:textAlignment w:val="auto"/>
        <w:rPr>
          <w:rFonts w:hint="eastAsia" w:ascii="仿宋" w:hAnsi="仿宋" w:eastAsia="仿宋" w:cs="Times New Roman"/>
          <w:color w:val="auto"/>
          <w:sz w:val="24"/>
          <w:szCs w:val="24"/>
          <w:lang w:eastAsia="zh-CN"/>
        </w:rPr>
      </w:pPr>
      <w:r>
        <w:rPr>
          <w:rFonts w:hint="eastAsia" w:ascii="仿宋" w:hAnsi="仿宋" w:eastAsia="仿宋" w:cs="Times New Roman"/>
          <w:color w:val="auto"/>
          <w:sz w:val="24"/>
          <w:szCs w:val="24"/>
          <w:lang w:val="en-US" w:eastAsia="zh-CN"/>
        </w:rPr>
        <w:t>1.</w:t>
      </w:r>
      <w:r>
        <w:rPr>
          <w:rFonts w:hint="eastAsia" w:ascii="仿宋" w:hAnsi="仿宋" w:eastAsia="仿宋" w:cs="Times New Roman"/>
          <w:color w:val="auto"/>
          <w:sz w:val="24"/>
          <w:szCs w:val="24"/>
          <w:lang w:eastAsia="zh-CN"/>
        </w:rPr>
        <w:t>教育改革“双减”“双增”下休闲体育产业发展研究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hanging="376" w:hangingChars="157"/>
        <w:textAlignment w:val="auto"/>
        <w:rPr>
          <w:rFonts w:hint="default" w:ascii="仿宋" w:hAnsi="仿宋" w:eastAsia="仿宋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仿宋" w:hAnsi="仿宋" w:eastAsia="仿宋" w:cs="Times New Roman"/>
          <w:color w:val="auto"/>
          <w:sz w:val="24"/>
          <w:szCs w:val="24"/>
          <w:lang w:val="en-US" w:eastAsia="zh-CN"/>
        </w:rPr>
        <w:t>2.体育旅游资源分类标准与评价体系研究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hanging="376" w:hangingChars="157"/>
        <w:textAlignment w:val="auto"/>
        <w:rPr>
          <w:rFonts w:hint="default" w:ascii="仿宋" w:hAnsi="仿宋" w:eastAsia="仿宋" w:cs="Times New Roman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Times New Roman"/>
          <w:color w:val="auto"/>
          <w:sz w:val="24"/>
          <w:szCs w:val="24"/>
          <w:lang w:val="en-US" w:eastAsia="zh-CN"/>
        </w:rPr>
        <w:t>3</w:t>
      </w:r>
      <w:r>
        <w:rPr>
          <w:rFonts w:hint="default" w:ascii="仿宋" w:hAnsi="仿宋" w:eastAsia="仿宋" w:cs="Times New Roman"/>
          <w:color w:val="auto"/>
          <w:sz w:val="24"/>
          <w:szCs w:val="24"/>
          <w:lang w:val="en-US" w:eastAsia="zh-CN"/>
        </w:rPr>
        <w:t>.元宇宙时代智慧体育旅游的创新发展研究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hanging="376" w:hangingChars="157"/>
        <w:textAlignment w:val="auto"/>
        <w:rPr>
          <w:rFonts w:hint="eastAsia" w:ascii="仿宋" w:hAnsi="仿宋" w:eastAsia="仿宋" w:cs="Times New Roman"/>
          <w:color w:val="auto"/>
          <w:sz w:val="24"/>
          <w:szCs w:val="24"/>
          <w:lang w:eastAsia="zh-CN"/>
        </w:rPr>
      </w:pPr>
      <w:r>
        <w:rPr>
          <w:rFonts w:hint="eastAsia" w:ascii="仿宋" w:hAnsi="仿宋" w:eastAsia="仿宋" w:cs="Times New Roman"/>
          <w:color w:val="auto"/>
          <w:sz w:val="24"/>
          <w:szCs w:val="24"/>
          <w:lang w:val="en-US" w:eastAsia="zh-CN"/>
        </w:rPr>
        <w:t>4</w:t>
      </w:r>
      <w:r>
        <w:rPr>
          <w:rFonts w:hint="default" w:ascii="仿宋" w:hAnsi="仿宋" w:eastAsia="仿宋" w:cs="Times New Roman"/>
          <w:color w:val="auto"/>
          <w:sz w:val="24"/>
          <w:szCs w:val="24"/>
          <w:lang w:val="en-US" w:eastAsia="zh-CN"/>
        </w:rPr>
        <w:t>. 文化体育旅游创新融合发展路径研究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hanging="376" w:hangingChars="157"/>
        <w:textAlignment w:val="auto"/>
        <w:rPr>
          <w:rFonts w:hint="eastAsia" w:ascii="仿宋" w:hAnsi="仿宋" w:eastAsia="仿宋" w:cs="Times New Roman"/>
          <w:color w:val="auto"/>
          <w:sz w:val="24"/>
          <w:szCs w:val="24"/>
          <w:lang w:eastAsia="zh-CN"/>
        </w:rPr>
      </w:pPr>
      <w:r>
        <w:rPr>
          <w:rFonts w:hint="eastAsia" w:ascii="仿宋" w:hAnsi="仿宋" w:eastAsia="仿宋" w:cs="Times New Roman"/>
          <w:color w:val="auto"/>
          <w:sz w:val="24"/>
          <w:szCs w:val="24"/>
          <w:lang w:val="en-US" w:eastAsia="zh-CN"/>
        </w:rPr>
        <w:t>5.</w:t>
      </w:r>
      <w:r>
        <w:rPr>
          <w:rFonts w:hint="eastAsia" w:ascii="仿宋" w:hAnsi="仿宋" w:eastAsia="仿宋" w:cs="Times New Roman"/>
          <w:color w:val="auto"/>
          <w:sz w:val="24"/>
          <w:szCs w:val="24"/>
          <w:lang w:eastAsia="zh-CN"/>
        </w:rPr>
        <w:t>乡村振兴战略背景下文体旅融合发展的研究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hanging="376" w:hangingChars="157"/>
        <w:textAlignment w:val="auto"/>
        <w:rPr>
          <w:rFonts w:hint="default" w:ascii="仿宋" w:hAnsi="仿宋" w:eastAsia="仿宋" w:cs="Times New Roman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Times New Roman"/>
          <w:color w:val="auto"/>
          <w:sz w:val="24"/>
          <w:szCs w:val="24"/>
          <w:lang w:val="en-US" w:eastAsia="zh-CN"/>
        </w:rPr>
        <w:t>6</w:t>
      </w:r>
      <w:r>
        <w:rPr>
          <w:rFonts w:hint="default" w:ascii="仿宋" w:hAnsi="仿宋" w:eastAsia="仿宋" w:cs="Times New Roman"/>
          <w:color w:val="auto"/>
          <w:sz w:val="24"/>
          <w:szCs w:val="24"/>
          <w:lang w:val="en-US" w:eastAsia="zh-CN"/>
        </w:rPr>
        <w:t>.乡村振兴与城乡休闲体育互动发展研究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hanging="376" w:hangingChars="157"/>
        <w:textAlignment w:val="auto"/>
        <w:rPr>
          <w:rFonts w:hint="eastAsia" w:ascii="仿宋" w:hAnsi="仿宋" w:eastAsia="仿宋" w:cs="Times New Roman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Times New Roman"/>
          <w:color w:val="auto"/>
          <w:sz w:val="24"/>
          <w:szCs w:val="24"/>
          <w:lang w:val="en-US" w:eastAsia="zh-CN"/>
        </w:rPr>
        <w:t>7</w:t>
      </w:r>
      <w:r>
        <w:rPr>
          <w:rFonts w:hint="default" w:ascii="仿宋" w:hAnsi="仿宋" w:eastAsia="仿宋" w:cs="Times New Roman"/>
          <w:color w:val="auto"/>
          <w:sz w:val="24"/>
          <w:szCs w:val="24"/>
          <w:lang w:val="en-US" w:eastAsia="zh-CN"/>
        </w:rPr>
        <w:t>.基于大数据的四川休闲体育环境特征研究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hanging="376" w:hangingChars="157"/>
        <w:textAlignment w:val="auto"/>
        <w:rPr>
          <w:rFonts w:hint="eastAsia" w:ascii="仿宋" w:hAnsi="仿宋" w:eastAsia="仿宋" w:cs="Times New Roman"/>
          <w:color w:val="auto"/>
          <w:sz w:val="24"/>
          <w:szCs w:val="24"/>
          <w:lang w:eastAsia="zh-CN"/>
        </w:rPr>
      </w:pPr>
      <w:r>
        <w:rPr>
          <w:rFonts w:hint="eastAsia" w:ascii="仿宋" w:hAnsi="仿宋" w:eastAsia="仿宋" w:cs="Times New Roman"/>
          <w:color w:val="auto"/>
          <w:sz w:val="24"/>
          <w:szCs w:val="24"/>
          <w:lang w:val="en-US" w:eastAsia="zh-CN"/>
        </w:rPr>
        <w:t>8.</w:t>
      </w:r>
      <w:r>
        <w:rPr>
          <w:rFonts w:hint="eastAsia" w:ascii="仿宋" w:hAnsi="仿宋" w:eastAsia="仿宋" w:cs="Times New Roman"/>
          <w:color w:val="auto"/>
          <w:sz w:val="24"/>
          <w:szCs w:val="24"/>
          <w:lang w:eastAsia="zh-CN"/>
        </w:rPr>
        <w:t>新形势下民族、民间、民俗体育产业化的研究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hanging="376" w:hangingChars="157"/>
        <w:textAlignment w:val="auto"/>
        <w:rPr>
          <w:rFonts w:hint="eastAsia" w:ascii="仿宋" w:hAnsi="仿宋" w:eastAsia="仿宋" w:cs="Times New Roman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Times New Roman"/>
          <w:color w:val="auto"/>
          <w:sz w:val="24"/>
          <w:szCs w:val="24"/>
          <w:lang w:val="en-US" w:eastAsia="zh-CN"/>
        </w:rPr>
        <w:t>9.</w:t>
      </w:r>
      <w:r>
        <w:rPr>
          <w:rFonts w:hint="eastAsia" w:ascii="仿宋" w:hAnsi="仿宋" w:eastAsia="仿宋" w:cs="Times New Roman"/>
          <w:color w:val="auto"/>
          <w:sz w:val="24"/>
          <w:szCs w:val="24"/>
          <w:lang w:eastAsia="zh-CN"/>
        </w:rPr>
        <w:t>数字时代休闲体育产业发展研究</w:t>
      </w:r>
      <w:r>
        <w:rPr>
          <w:rFonts w:hint="eastAsia" w:ascii="仿宋" w:hAnsi="仿宋" w:eastAsia="仿宋" w:cs="Times New Roman"/>
          <w:color w:val="auto"/>
          <w:sz w:val="24"/>
          <w:szCs w:val="24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hanging="376" w:hangingChars="157"/>
        <w:textAlignment w:val="auto"/>
        <w:rPr>
          <w:rFonts w:hint="eastAsia" w:ascii="仿宋" w:hAnsi="仿宋" w:eastAsia="仿宋" w:cs="Times New Roman"/>
          <w:color w:val="auto"/>
          <w:sz w:val="24"/>
          <w:szCs w:val="24"/>
          <w:lang w:eastAsia="zh-CN"/>
        </w:rPr>
      </w:pPr>
      <w:r>
        <w:rPr>
          <w:rFonts w:hint="eastAsia" w:ascii="仿宋" w:hAnsi="仿宋" w:eastAsia="仿宋" w:cs="Times New Roman"/>
          <w:color w:val="auto"/>
          <w:sz w:val="24"/>
          <w:szCs w:val="24"/>
          <w:lang w:val="en-US" w:eastAsia="zh-CN"/>
        </w:rPr>
        <w:t>10.</w:t>
      </w:r>
      <w:r>
        <w:rPr>
          <w:rFonts w:hint="eastAsia" w:ascii="仿宋" w:hAnsi="仿宋" w:eastAsia="仿宋" w:cs="Times New Roman"/>
          <w:color w:val="auto"/>
          <w:sz w:val="24"/>
          <w:szCs w:val="24"/>
          <w:lang w:eastAsia="zh-CN"/>
        </w:rPr>
        <w:t>数字经济与四川民族传统体育文化旅游产业发展研究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hanging="376" w:hangingChars="157"/>
        <w:textAlignment w:val="auto"/>
        <w:rPr>
          <w:rFonts w:hint="eastAsia" w:ascii="仿宋" w:hAnsi="仿宋" w:eastAsia="仿宋" w:cs="Times New Roman"/>
          <w:color w:val="auto"/>
          <w:sz w:val="24"/>
          <w:szCs w:val="24"/>
          <w:lang w:eastAsia="zh-CN"/>
        </w:rPr>
      </w:pPr>
      <w:r>
        <w:rPr>
          <w:rFonts w:hint="eastAsia" w:ascii="仿宋" w:hAnsi="仿宋" w:eastAsia="仿宋" w:cs="Times New Roman"/>
          <w:color w:val="auto"/>
          <w:sz w:val="24"/>
          <w:szCs w:val="24"/>
          <w:lang w:val="en-US" w:eastAsia="zh-CN"/>
        </w:rPr>
        <w:t>11</w:t>
      </w:r>
      <w:r>
        <w:rPr>
          <w:rFonts w:hint="default" w:ascii="仿宋" w:hAnsi="仿宋" w:eastAsia="仿宋" w:cs="Times New Roman"/>
          <w:color w:val="auto"/>
          <w:sz w:val="24"/>
          <w:szCs w:val="24"/>
          <w:lang w:val="en-US" w:eastAsia="zh-CN"/>
        </w:rPr>
        <w:t>.文化自信视域下民族传统体育的传承，创新与运用研究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hanging="376" w:hangingChars="157"/>
        <w:textAlignment w:val="auto"/>
        <w:rPr>
          <w:rFonts w:hint="eastAsia" w:ascii="仿宋" w:hAnsi="仿宋" w:eastAsia="仿宋" w:cs="Times New Roman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Times New Roman"/>
          <w:color w:val="auto"/>
          <w:sz w:val="24"/>
          <w:szCs w:val="24"/>
          <w:lang w:val="en-US" w:eastAsia="zh-CN"/>
        </w:rPr>
        <w:t>12.</w:t>
      </w:r>
      <w:r>
        <w:rPr>
          <w:rFonts w:hint="eastAsia" w:ascii="仿宋" w:hAnsi="仿宋" w:eastAsia="仿宋" w:cs="Times New Roman"/>
          <w:color w:val="auto"/>
          <w:sz w:val="24"/>
          <w:szCs w:val="24"/>
          <w:lang w:eastAsia="zh-CN"/>
        </w:rPr>
        <w:t>新消费时代与国民运动品牌、体育消费的相关研究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hanging="376" w:hangingChars="157"/>
        <w:textAlignment w:val="auto"/>
        <w:rPr>
          <w:rFonts w:hint="eastAsia" w:ascii="仿宋" w:hAnsi="仿宋" w:eastAsia="仿宋" w:cs="Times New Roman"/>
          <w:color w:val="auto"/>
          <w:sz w:val="24"/>
          <w:szCs w:val="24"/>
          <w:lang w:eastAsia="zh-CN"/>
        </w:rPr>
      </w:pPr>
      <w:r>
        <w:rPr>
          <w:rFonts w:hint="eastAsia" w:ascii="仿宋" w:hAnsi="仿宋" w:eastAsia="仿宋" w:cs="Times New Roman"/>
          <w:color w:val="auto"/>
          <w:sz w:val="24"/>
          <w:szCs w:val="24"/>
          <w:lang w:val="en-US" w:eastAsia="zh-CN"/>
        </w:rPr>
        <w:t>13.大熊猫国家公园入口社区</w:t>
      </w:r>
      <w:r>
        <w:rPr>
          <w:rFonts w:hint="eastAsia" w:ascii="仿宋" w:hAnsi="仿宋" w:eastAsia="仿宋" w:cs="Times New Roman"/>
          <w:color w:val="auto"/>
          <w:sz w:val="24"/>
          <w:szCs w:val="24"/>
          <w:lang w:eastAsia="zh-CN"/>
        </w:rPr>
        <w:t>休闲体育产业发展研究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hanging="376" w:hangingChars="157"/>
        <w:textAlignment w:val="auto"/>
        <w:rPr>
          <w:rFonts w:hint="eastAsia" w:ascii="仿宋" w:hAnsi="仿宋" w:eastAsia="仿宋" w:cs="Times New Roman"/>
          <w:color w:val="auto"/>
          <w:sz w:val="24"/>
          <w:szCs w:val="24"/>
          <w:lang w:eastAsia="zh-CN"/>
        </w:rPr>
      </w:pPr>
      <w:r>
        <w:rPr>
          <w:rFonts w:hint="eastAsia" w:ascii="仿宋" w:hAnsi="仿宋" w:eastAsia="仿宋" w:cs="Times New Roman"/>
          <w:color w:val="auto"/>
          <w:sz w:val="24"/>
          <w:szCs w:val="24"/>
          <w:lang w:val="en-US" w:eastAsia="zh-CN"/>
        </w:rPr>
        <w:t>14.</w:t>
      </w:r>
      <w:r>
        <w:rPr>
          <w:rFonts w:hint="eastAsia" w:ascii="仿宋" w:hAnsi="仿宋" w:eastAsia="仿宋" w:cs="Times New Roman"/>
          <w:color w:val="auto"/>
          <w:sz w:val="24"/>
          <w:szCs w:val="24"/>
          <w:lang w:eastAsia="zh-CN"/>
        </w:rPr>
        <w:t>2022年冬奥会遗产对促进冰雪运动产业发展的研究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hanging="376" w:hangingChars="157"/>
        <w:textAlignment w:val="auto"/>
        <w:rPr>
          <w:rFonts w:hint="default" w:ascii="仿宋" w:hAnsi="仿宋" w:eastAsia="仿宋" w:cs="Times New Roman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Times New Roman"/>
          <w:color w:val="auto"/>
          <w:sz w:val="24"/>
          <w:szCs w:val="24"/>
          <w:lang w:val="en-US" w:eastAsia="zh-CN"/>
        </w:rPr>
        <w:t>15.</w:t>
      </w:r>
      <w:r>
        <w:rPr>
          <w:rFonts w:hint="default" w:ascii="仿宋" w:hAnsi="仿宋" w:eastAsia="仿宋" w:cs="Times New Roman"/>
          <w:color w:val="auto"/>
          <w:sz w:val="24"/>
          <w:szCs w:val="24"/>
          <w:lang w:val="en-US" w:eastAsia="zh-CN"/>
        </w:rPr>
        <w:t>后冬奥时代四川冰雪运动产业发展的突破与创新研究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hanging="376" w:hangingChars="157"/>
        <w:textAlignment w:val="auto"/>
        <w:rPr>
          <w:rFonts w:hint="default" w:ascii="仿宋" w:hAnsi="仿宋" w:eastAsia="仿宋" w:cs="Times New Roman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Times New Roman"/>
          <w:color w:val="auto"/>
          <w:sz w:val="24"/>
          <w:szCs w:val="24"/>
          <w:lang w:val="en-US" w:eastAsia="zh-CN"/>
        </w:rPr>
        <w:t>16.</w:t>
      </w:r>
      <w:r>
        <w:rPr>
          <w:rFonts w:hint="eastAsia" w:ascii="仿宋" w:hAnsi="仿宋" w:eastAsia="仿宋" w:cs="Times New Roman"/>
          <w:color w:val="auto"/>
          <w:sz w:val="24"/>
          <w:szCs w:val="24"/>
          <w:lang w:eastAsia="zh-CN"/>
        </w:rPr>
        <w:t>成渝地区双城经济圈休闲体育产业融入新发展格局、</w:t>
      </w:r>
      <w:r>
        <w:rPr>
          <w:rFonts w:hint="eastAsia" w:ascii="仿宋" w:hAnsi="仿宋" w:eastAsia="仿宋" w:cs="Times New Roman"/>
          <w:color w:val="auto"/>
          <w:sz w:val="24"/>
          <w:szCs w:val="24"/>
          <w:lang w:val="en-US" w:eastAsia="zh-CN"/>
        </w:rPr>
        <w:t>实施</w:t>
      </w:r>
      <w:r>
        <w:rPr>
          <w:rFonts w:hint="eastAsia" w:ascii="仿宋" w:hAnsi="仿宋" w:eastAsia="仿宋" w:cs="Times New Roman"/>
          <w:color w:val="auto"/>
          <w:sz w:val="24"/>
          <w:szCs w:val="24"/>
          <w:lang w:eastAsia="zh-CN"/>
        </w:rPr>
        <w:t>高质量协同发展</w:t>
      </w:r>
      <w:r>
        <w:rPr>
          <w:rFonts w:hint="eastAsia" w:ascii="仿宋" w:hAnsi="仿宋" w:eastAsia="仿宋" w:cs="Times New Roman"/>
          <w:color w:val="auto"/>
          <w:sz w:val="24"/>
          <w:szCs w:val="24"/>
          <w:lang w:val="en-US" w:eastAsia="zh-CN"/>
        </w:rPr>
        <w:t>路径</w:t>
      </w:r>
      <w:r>
        <w:rPr>
          <w:rFonts w:hint="eastAsia" w:ascii="仿宋" w:hAnsi="仿宋" w:eastAsia="仿宋" w:cs="Times New Roman"/>
          <w:color w:val="auto"/>
          <w:sz w:val="24"/>
          <w:szCs w:val="24"/>
          <w:lang w:eastAsia="zh-CN"/>
        </w:rPr>
        <w:t>的</w:t>
      </w:r>
      <w:r>
        <w:rPr>
          <w:rFonts w:hint="eastAsia" w:ascii="仿宋" w:hAnsi="仿宋" w:eastAsia="仿宋" w:cs="Times New Roman"/>
          <w:color w:val="auto"/>
          <w:sz w:val="24"/>
          <w:szCs w:val="24"/>
          <w:lang w:val="en-US" w:eastAsia="zh-CN"/>
        </w:rPr>
        <w:t>实践</w:t>
      </w:r>
      <w:r>
        <w:rPr>
          <w:rFonts w:hint="eastAsia" w:ascii="仿宋" w:hAnsi="仿宋" w:eastAsia="仿宋" w:cs="Times New Roman"/>
          <w:color w:val="auto"/>
          <w:sz w:val="24"/>
          <w:szCs w:val="24"/>
          <w:lang w:eastAsia="zh-CN"/>
        </w:rPr>
        <w:t>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hanging="376" w:hangingChars="157"/>
        <w:textAlignment w:val="auto"/>
        <w:rPr>
          <w:rFonts w:hint="eastAsia" w:ascii="仿宋" w:hAnsi="仿宋" w:eastAsia="仿宋" w:cs="Times New Roman"/>
          <w:color w:val="auto"/>
          <w:sz w:val="24"/>
          <w:szCs w:val="24"/>
          <w:lang w:eastAsia="zh-CN"/>
        </w:rPr>
      </w:pPr>
      <w:r>
        <w:rPr>
          <w:rFonts w:hint="eastAsia" w:ascii="仿宋" w:hAnsi="仿宋" w:eastAsia="仿宋" w:cs="Times New Roman"/>
          <w:color w:val="auto"/>
          <w:sz w:val="24"/>
          <w:szCs w:val="24"/>
          <w:lang w:val="en-US" w:eastAsia="zh-CN"/>
        </w:rPr>
        <w:t>17.</w:t>
      </w:r>
      <w:r>
        <w:rPr>
          <w:rFonts w:hint="eastAsia" w:ascii="仿宋" w:hAnsi="仿宋" w:eastAsia="仿宋" w:cs="Times New Roman"/>
          <w:color w:val="auto"/>
          <w:sz w:val="24"/>
          <w:szCs w:val="24"/>
          <w:lang w:eastAsia="zh-CN"/>
        </w:rPr>
        <w:t>冰雪运动</w:t>
      </w:r>
      <w:r>
        <w:rPr>
          <w:rFonts w:hint="eastAsia" w:ascii="仿宋" w:hAnsi="仿宋" w:eastAsia="仿宋" w:cs="Times New Roman"/>
          <w:color w:val="auto"/>
          <w:sz w:val="24"/>
          <w:szCs w:val="24"/>
          <w:lang w:val="en-US" w:eastAsia="zh-CN"/>
        </w:rPr>
        <w:t>资源的市场开发与人才培养</w:t>
      </w:r>
      <w:r>
        <w:rPr>
          <w:rFonts w:hint="eastAsia" w:ascii="仿宋" w:hAnsi="仿宋" w:eastAsia="仿宋" w:cs="Times New Roman"/>
          <w:color w:val="auto"/>
          <w:sz w:val="24"/>
          <w:szCs w:val="24"/>
          <w:lang w:eastAsia="zh-CN"/>
        </w:rPr>
        <w:t>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hanging="376" w:hangingChars="157"/>
        <w:textAlignment w:val="auto"/>
        <w:rPr>
          <w:rFonts w:hint="eastAsia" w:ascii="仿宋" w:hAnsi="仿宋" w:eastAsia="仿宋" w:cs="Times New Roman"/>
          <w:color w:val="auto"/>
          <w:sz w:val="24"/>
          <w:szCs w:val="24"/>
          <w:lang w:eastAsia="zh-CN"/>
        </w:rPr>
      </w:pPr>
      <w:r>
        <w:rPr>
          <w:rFonts w:hint="eastAsia" w:ascii="仿宋" w:hAnsi="仿宋" w:eastAsia="仿宋" w:cs="Times New Roman"/>
          <w:color w:val="auto"/>
          <w:sz w:val="24"/>
          <w:szCs w:val="24"/>
          <w:lang w:val="en-US" w:eastAsia="zh-CN"/>
        </w:rPr>
        <w:t>18.“十四五”</w:t>
      </w:r>
      <w:r>
        <w:rPr>
          <w:rFonts w:hint="eastAsia" w:ascii="仿宋" w:hAnsi="仿宋" w:eastAsia="仿宋" w:cs="Times New Roman"/>
          <w:color w:val="auto"/>
          <w:sz w:val="24"/>
          <w:szCs w:val="24"/>
          <w:lang w:eastAsia="zh-CN"/>
        </w:rPr>
        <w:t>推进成渝地区双城经济圈体育产业示范区（基地）发展的研究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hanging="376" w:hangingChars="157"/>
        <w:textAlignment w:val="auto"/>
        <w:rPr>
          <w:rFonts w:hint="eastAsia" w:ascii="仿宋" w:hAnsi="仿宋" w:eastAsia="仿宋" w:cs="Times New Roman"/>
          <w:color w:val="auto"/>
          <w:sz w:val="24"/>
          <w:szCs w:val="24"/>
          <w:lang w:eastAsia="zh-CN"/>
        </w:rPr>
      </w:pPr>
      <w:r>
        <w:rPr>
          <w:rFonts w:hint="eastAsia" w:ascii="仿宋" w:hAnsi="仿宋" w:eastAsia="仿宋" w:cs="Times New Roman"/>
          <w:color w:val="auto"/>
          <w:sz w:val="24"/>
          <w:szCs w:val="24"/>
          <w:lang w:val="en-US" w:eastAsia="zh-CN"/>
        </w:rPr>
        <w:t>19.</w:t>
      </w:r>
      <w:r>
        <w:rPr>
          <w:rFonts w:hint="eastAsia" w:ascii="仿宋" w:hAnsi="仿宋" w:eastAsia="仿宋" w:cs="Times New Roman"/>
          <w:color w:val="auto"/>
          <w:sz w:val="24"/>
          <w:szCs w:val="24"/>
          <w:lang w:eastAsia="zh-CN"/>
        </w:rPr>
        <w:t>“十四五”时期四川省休闲体育产业高质量发展研究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hanging="376" w:hangingChars="157"/>
        <w:textAlignment w:val="auto"/>
        <w:rPr>
          <w:rFonts w:hint="eastAsia" w:ascii="仿宋" w:hAnsi="仿宋" w:eastAsia="仿宋" w:cs="Times New Roman"/>
          <w:color w:val="auto"/>
          <w:sz w:val="24"/>
          <w:szCs w:val="24"/>
          <w:lang w:eastAsia="zh-CN"/>
        </w:rPr>
      </w:pPr>
      <w:r>
        <w:rPr>
          <w:rFonts w:hint="eastAsia" w:ascii="仿宋" w:hAnsi="仿宋" w:eastAsia="仿宋" w:cs="Times New Roman"/>
          <w:color w:val="auto"/>
          <w:sz w:val="24"/>
          <w:szCs w:val="24"/>
          <w:lang w:val="en-US" w:eastAsia="zh-CN"/>
        </w:rPr>
        <w:t>20.</w:t>
      </w:r>
      <w:r>
        <w:rPr>
          <w:rFonts w:hint="eastAsia" w:ascii="仿宋" w:hAnsi="仿宋" w:eastAsia="仿宋" w:cs="Times New Roman"/>
          <w:color w:val="auto"/>
          <w:sz w:val="24"/>
          <w:szCs w:val="24"/>
          <w:lang w:eastAsia="zh-CN"/>
        </w:rPr>
        <w:t>世界赛事名城建设与国家公园示范城市建设互动发展研究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hanging="376" w:hangingChars="157"/>
        <w:textAlignment w:val="auto"/>
        <w:rPr>
          <w:rFonts w:hint="eastAsia" w:ascii="仿宋" w:hAnsi="仿宋" w:eastAsia="仿宋" w:cs="Times New Roman"/>
          <w:color w:val="auto"/>
          <w:sz w:val="24"/>
          <w:szCs w:val="24"/>
          <w:lang w:eastAsia="zh-CN"/>
        </w:rPr>
      </w:pPr>
      <w:r>
        <w:rPr>
          <w:rFonts w:hint="eastAsia" w:ascii="仿宋" w:hAnsi="仿宋" w:eastAsia="仿宋" w:cs="Times New Roman"/>
          <w:color w:val="auto"/>
          <w:sz w:val="24"/>
          <w:szCs w:val="24"/>
          <w:lang w:val="en-US" w:eastAsia="zh-CN"/>
        </w:rPr>
        <w:t>21.</w:t>
      </w:r>
      <w:r>
        <w:rPr>
          <w:rFonts w:hint="default" w:ascii="仿宋" w:hAnsi="仿宋" w:eastAsia="仿宋" w:cs="Times New Roman"/>
          <w:color w:val="auto"/>
          <w:sz w:val="24"/>
          <w:szCs w:val="24"/>
          <w:lang w:val="en-US" w:eastAsia="zh-CN"/>
        </w:rPr>
        <w:t>新冠疫情多发背景下成都推进”赛事名城”的创新办法与举措研究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hanging="376" w:hangingChars="157"/>
        <w:textAlignment w:val="auto"/>
        <w:rPr>
          <w:rFonts w:hint="default" w:ascii="仿宋" w:hAnsi="仿宋" w:eastAsia="仿宋" w:cs="Times New Roman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Times New Roman"/>
          <w:color w:val="auto"/>
          <w:sz w:val="24"/>
          <w:szCs w:val="24"/>
          <w:lang w:val="en-US" w:eastAsia="zh-CN"/>
        </w:rPr>
        <w:t>22.</w:t>
      </w:r>
      <w:r>
        <w:rPr>
          <w:rFonts w:hint="default" w:ascii="仿宋" w:hAnsi="仿宋" w:eastAsia="仿宋" w:cs="Times New Roman"/>
          <w:color w:val="auto"/>
          <w:sz w:val="24"/>
          <w:szCs w:val="24"/>
          <w:lang w:val="en-US" w:eastAsia="zh-CN"/>
        </w:rPr>
        <w:t>成都世界大学生运动会促进成都市</w:t>
      </w:r>
      <w:r>
        <w:rPr>
          <w:rFonts w:hint="eastAsia" w:ascii="仿宋" w:hAnsi="仿宋" w:eastAsia="仿宋" w:cs="Times New Roman"/>
          <w:color w:val="auto"/>
          <w:sz w:val="24"/>
          <w:szCs w:val="24"/>
          <w:lang w:val="en-US" w:eastAsia="zh-CN"/>
        </w:rPr>
        <w:t>休闲</w:t>
      </w:r>
      <w:r>
        <w:rPr>
          <w:rFonts w:hint="default" w:ascii="仿宋" w:hAnsi="仿宋" w:eastAsia="仿宋" w:cs="Times New Roman"/>
          <w:color w:val="auto"/>
          <w:sz w:val="24"/>
          <w:szCs w:val="24"/>
          <w:lang w:val="en-US" w:eastAsia="zh-CN"/>
        </w:rPr>
        <w:t>体育产业发展的经验与不足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hanging="376" w:hangingChars="157"/>
        <w:textAlignment w:val="auto"/>
        <w:rPr>
          <w:rFonts w:hint="default" w:ascii="仿宋" w:hAnsi="仿宋" w:eastAsia="仿宋" w:cs="Times New Roman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Times New Roman"/>
          <w:color w:val="auto"/>
          <w:sz w:val="24"/>
          <w:szCs w:val="24"/>
          <w:lang w:val="en-US" w:eastAsia="zh-CN"/>
        </w:rPr>
        <w:t>23</w:t>
      </w:r>
      <w:r>
        <w:rPr>
          <w:rFonts w:hint="default" w:ascii="仿宋" w:hAnsi="仿宋" w:eastAsia="仿宋" w:cs="Times New Roman"/>
          <w:color w:val="auto"/>
          <w:sz w:val="24"/>
          <w:szCs w:val="24"/>
          <w:lang w:val="en-US" w:eastAsia="zh-CN"/>
        </w:rPr>
        <w:t>.世界大学生运动会对成都建设世界赛事名城影响的研究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hanging="376" w:hangingChars="157"/>
        <w:textAlignment w:val="auto"/>
        <w:rPr>
          <w:rFonts w:hint="eastAsia" w:ascii="仿宋" w:hAnsi="仿宋" w:eastAsia="仿宋" w:cs="Times New Roman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Times New Roman"/>
          <w:color w:val="auto"/>
          <w:sz w:val="24"/>
          <w:szCs w:val="24"/>
          <w:lang w:val="en-US" w:eastAsia="zh-CN"/>
        </w:rPr>
        <w:t>24.</w:t>
      </w:r>
      <w:r>
        <w:rPr>
          <w:rFonts w:hint="eastAsia" w:ascii="仿宋" w:hAnsi="仿宋" w:eastAsia="仿宋" w:cs="Times New Roman"/>
          <w:color w:val="auto"/>
          <w:sz w:val="24"/>
          <w:szCs w:val="24"/>
          <w:lang w:eastAsia="zh-CN"/>
        </w:rPr>
        <w:t>成都大运会场馆赛后可持续利用研究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hanging="376" w:hangingChars="157"/>
        <w:textAlignment w:val="auto"/>
        <w:rPr>
          <w:rFonts w:hint="eastAsia" w:ascii="仿宋" w:hAnsi="仿宋" w:eastAsia="仿宋" w:cs="Times New Roman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Times New Roman"/>
          <w:color w:val="auto"/>
          <w:sz w:val="24"/>
          <w:szCs w:val="24"/>
          <w:lang w:val="en-US" w:eastAsia="zh-CN"/>
        </w:rPr>
        <w:t>25.</w:t>
      </w:r>
      <w:r>
        <w:rPr>
          <w:rFonts w:hint="eastAsia" w:ascii="仿宋" w:hAnsi="仿宋" w:eastAsia="仿宋" w:cs="Times New Roman"/>
          <w:color w:val="auto"/>
          <w:sz w:val="24"/>
          <w:szCs w:val="24"/>
          <w:lang w:eastAsia="zh-CN"/>
        </w:rPr>
        <w:t>四川现代体育服务业发展与体育服务综合体建设研究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hanging="376" w:hangingChars="157"/>
        <w:textAlignment w:val="auto"/>
        <w:rPr>
          <w:rFonts w:hint="default" w:ascii="仿宋" w:hAnsi="仿宋" w:eastAsia="仿宋" w:cs="Times New Roman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Times New Roman"/>
          <w:color w:val="auto"/>
          <w:sz w:val="24"/>
          <w:szCs w:val="24"/>
          <w:lang w:val="en-US" w:eastAsia="zh-CN"/>
        </w:rPr>
        <w:t>26.</w:t>
      </w:r>
      <w:r>
        <w:rPr>
          <w:rFonts w:hint="default" w:ascii="仿宋" w:hAnsi="仿宋" w:eastAsia="仿宋" w:cs="Times New Roman"/>
          <w:color w:val="auto"/>
          <w:sz w:val="24"/>
          <w:szCs w:val="24"/>
          <w:lang w:val="en-US" w:eastAsia="zh-CN"/>
        </w:rPr>
        <w:t>区域体育产业的可持续性发展与学校体育的联动机制研究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hanging="376" w:hangingChars="157"/>
        <w:textAlignment w:val="auto"/>
        <w:rPr>
          <w:rFonts w:hint="default" w:ascii="仿宋" w:hAnsi="仿宋" w:eastAsia="仿宋" w:cs="Times New Roman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Times New Roman"/>
          <w:color w:val="auto"/>
          <w:sz w:val="24"/>
          <w:szCs w:val="24"/>
          <w:lang w:val="en-US" w:eastAsia="zh-CN"/>
        </w:rPr>
        <w:t>27</w:t>
      </w:r>
      <w:r>
        <w:rPr>
          <w:rFonts w:hint="default" w:ascii="仿宋" w:hAnsi="仿宋" w:eastAsia="仿宋" w:cs="Times New Roman"/>
          <w:color w:val="auto"/>
          <w:sz w:val="24"/>
          <w:szCs w:val="24"/>
          <w:lang w:val="en-US" w:eastAsia="zh-CN"/>
        </w:rPr>
        <w:t>.碳中和目标下</w:t>
      </w:r>
      <w:r>
        <w:rPr>
          <w:rFonts w:hint="eastAsia" w:ascii="仿宋" w:hAnsi="仿宋" w:eastAsia="仿宋" w:cs="Times New Roman"/>
          <w:color w:val="auto"/>
          <w:sz w:val="24"/>
          <w:szCs w:val="24"/>
          <w:lang w:val="en-US" w:eastAsia="zh-CN"/>
        </w:rPr>
        <w:t>休闲</w:t>
      </w:r>
      <w:r>
        <w:rPr>
          <w:rFonts w:hint="default" w:ascii="仿宋" w:hAnsi="仿宋" w:eastAsia="仿宋" w:cs="Times New Roman"/>
          <w:color w:val="auto"/>
          <w:sz w:val="24"/>
          <w:szCs w:val="24"/>
          <w:lang w:val="en-US" w:eastAsia="zh-CN"/>
        </w:rPr>
        <w:t>体育产业发展研究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hanging="376" w:hangingChars="157"/>
        <w:textAlignment w:val="auto"/>
        <w:rPr>
          <w:rFonts w:hint="default" w:ascii="仿宋" w:hAnsi="仿宋" w:eastAsia="仿宋" w:cs="Times New Roman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Times New Roman"/>
          <w:color w:val="auto"/>
          <w:sz w:val="24"/>
          <w:szCs w:val="24"/>
          <w:lang w:val="en-US" w:eastAsia="zh-CN"/>
        </w:rPr>
        <w:t>28</w:t>
      </w:r>
      <w:r>
        <w:rPr>
          <w:rFonts w:hint="default" w:ascii="仿宋" w:hAnsi="仿宋" w:eastAsia="仿宋" w:cs="Times New Roman"/>
          <w:color w:val="auto"/>
          <w:sz w:val="24"/>
          <w:szCs w:val="24"/>
          <w:lang w:val="en-US" w:eastAsia="zh-CN"/>
        </w:rPr>
        <w:t>.碳中和背景下四川山地体育旅游发展战略研究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hanging="376" w:hangingChars="157"/>
        <w:textAlignment w:val="auto"/>
        <w:rPr>
          <w:rFonts w:hint="default" w:ascii="仿宋" w:hAnsi="仿宋" w:eastAsia="仿宋" w:cs="Times New Roman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Times New Roman"/>
          <w:color w:val="auto"/>
          <w:sz w:val="24"/>
          <w:szCs w:val="24"/>
          <w:lang w:val="en-US" w:eastAsia="zh-CN"/>
        </w:rPr>
        <w:t>29.中外合作办学背景下高校休闲体育产业人才培养创新模式研究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5F5097"/>
    <w:rsid w:val="0B8B296C"/>
    <w:rsid w:val="1C404406"/>
    <w:rsid w:val="1D4D3DBC"/>
    <w:rsid w:val="28194232"/>
    <w:rsid w:val="38BB79B3"/>
    <w:rsid w:val="3D36764F"/>
    <w:rsid w:val="40B34CD9"/>
    <w:rsid w:val="48B7601C"/>
    <w:rsid w:val="509F0C78"/>
    <w:rsid w:val="513C4BB5"/>
    <w:rsid w:val="5DEE10D1"/>
    <w:rsid w:val="700405F4"/>
    <w:rsid w:val="78E61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theme" Target="theme/theme1.xml"/>
  <Relationship Id="rId4" Type="http://schemas.openxmlformats.org/officeDocument/2006/relationships/customXml" Target="../customXml/item1.xml"/>
  <Relationship Id="rId5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36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2021-11-19T10:02:00Z</dcterms:created>
  <dc:creator>Administrator</dc:creator>
  <lastModifiedBy>dell</lastModifiedBy>
  <lastPrinted>2021-11-19T10:02:00Z</lastPrinted>
  <dcterms:modified xsi:type="dcterms:W3CDTF">2022-03-15T01:30:35Z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7C7161E82C98495D917F38F081855B0A</vt:lpwstr>
  </property>
</Properties>
</file>